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before="72" w:beforeLines="0" w:beforeAutospacing="0"/>
        <w:ind w:left="0" w:leftChars="0" w:firstLine="0"/>
        <w:jc w:val="center"/>
        <w:rPr>
          <w:rFonts w:hint="default" w:ascii="ＭＳ 明朝" w:hAnsi="ＭＳ 明朝" w:eastAsia="ＭＳ 明朝"/>
          <w:sz w:val="28"/>
        </w:rPr>
      </w:pPr>
      <w:bookmarkStart w:id="0" w:name="_GoBack"/>
      <w:bookmarkEnd w:id="0"/>
      <w:r>
        <w:rPr>
          <w:rFonts w:hint="eastAsia" w:ascii="ＭＳ 明朝" w:hAnsi="ＭＳ 明朝" w:eastAsia="ＭＳ 明朝"/>
          <w:sz w:val="28"/>
        </w:rPr>
        <w:t>都市景観形成基準適合確認書</w:t>
      </w:r>
    </w:p>
    <w:p>
      <w:pPr>
        <w:pStyle w:val="16"/>
        <w:spacing w:before="0" w:beforeLines="0" w:beforeAutospacing="0"/>
        <w:ind w:left="0" w:leftChars="0" w:firstLine="0"/>
        <w:jc w:val="center"/>
        <w:rPr>
          <w:rFonts w:hint="default" w:ascii="ＭＳ 明朝" w:hAnsi="ＭＳ 明朝" w:eastAsia="ＭＳ 明朝"/>
          <w:sz w:val="28"/>
        </w:rPr>
      </w:pPr>
      <w:r>
        <w:rPr>
          <w:rFonts w:hint="eastAsia" w:ascii="ＭＳ 明朝" w:hAnsi="ＭＳ 明朝" w:eastAsia="ＭＳ 明朝"/>
          <w:sz w:val="28"/>
        </w:rPr>
        <w:t>（クレアモール・八幡通り・中央通り周辺地区都市景観形成地域</w:t>
      </w:r>
    </w:p>
    <w:p>
      <w:pPr>
        <w:pStyle w:val="16"/>
        <w:spacing w:before="0" w:beforeLines="0" w:beforeAutospacing="0" w:after="138" w:afterLines="50" w:afterAutospacing="0"/>
        <w:ind w:left="0" w:leftChars="0" w:firstLine="0"/>
        <w:jc w:val="center"/>
        <w:rPr>
          <w:rFonts w:hint="default" w:ascii="HGP創英角ｺﾞｼｯｸUB" w:hAnsi="HGP創英角ｺﾞｼｯｸUB" w:eastAsia="HGP創英角ｺﾞｼｯｸUB"/>
          <w:sz w:val="24"/>
        </w:rPr>
      </w:pPr>
      <w:r>
        <w:rPr>
          <w:rFonts w:hint="eastAsia" w:ascii="ＭＳ 明朝" w:hAnsi="ＭＳ 明朝" w:eastAsia="ＭＳ 明朝"/>
          <w:sz w:val="28"/>
        </w:rPr>
        <w:t>／中央通り周辺地区）</w:t>
      </w:r>
    </w:p>
    <w:tbl>
      <w:tblPr>
        <w:tblStyle w:val="48"/>
        <w:tblW w:w="8841" w:type="dxa"/>
        <w:tblInd w:w="-10" w:type="dxa"/>
        <w:tblLayout w:type="fixed"/>
        <w:tblLook w:firstRow="1" w:lastRow="0" w:firstColumn="1" w:lastColumn="0" w:noHBand="0" w:noVBand="1" w:val="04A0"/>
      </w:tblPr>
      <w:tblGrid>
        <w:gridCol w:w="426"/>
        <w:gridCol w:w="493"/>
        <w:gridCol w:w="493"/>
        <w:gridCol w:w="6279"/>
        <w:gridCol w:w="22"/>
        <w:gridCol w:w="1128"/>
      </w:tblGrid>
      <w:tr>
        <w:trPr>
          <w:trHeight w:val="456" w:hRule="atLeast"/>
        </w:trPr>
        <w:tc>
          <w:tcPr>
            <w:tcW w:w="7713" w:type="dxa"/>
            <w:gridSpan w:val="5"/>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27" w:beforeLines="10" w:beforeAutospacing="0" w:line="240" w:lineRule="exact"/>
              <w:ind w:left="480" w:hanging="480" w:hangingChars="200"/>
              <w:jc w:val="center"/>
              <w:rPr>
                <w:rFonts w:hint="default" w:ascii="ＭＳ 明朝" w:hAnsi="ＭＳ 明朝"/>
                <w:sz w:val="24"/>
              </w:rPr>
            </w:pPr>
            <w:r>
              <w:rPr>
                <w:rFonts w:hint="eastAsia" w:ascii="ＭＳ 明朝" w:hAnsi="ＭＳ 明朝"/>
                <w:sz w:val="24"/>
              </w:rPr>
              <w:t>都市景観形成基準</w:t>
            </w:r>
          </w:p>
        </w:tc>
        <w:tc>
          <w:tcPr>
            <w:tcW w:w="1128"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82" w:beforeLines="30" w:beforeAutospacing="0" w:line="240" w:lineRule="exact"/>
              <w:ind w:left="440" w:hanging="440" w:hangingChars="200"/>
              <w:jc w:val="center"/>
              <w:rPr>
                <w:rFonts w:hint="default" w:ascii="ＭＳ 明朝" w:hAnsi="ＭＳ 明朝"/>
                <w:sz w:val="22"/>
              </w:rPr>
            </w:pPr>
            <w:r>
              <w:rPr>
                <w:rFonts w:hint="eastAsia" w:ascii="ＭＳ 明朝" w:hAnsi="ＭＳ 明朝"/>
                <w:sz w:val="22"/>
              </w:rPr>
              <w:t>チェック</w:t>
            </w:r>
          </w:p>
          <w:p>
            <w:pPr>
              <w:pStyle w:val="0"/>
              <w:spacing w:before="27"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欄</w:t>
            </w:r>
          </w:p>
        </w:tc>
      </w:tr>
      <w:tr>
        <w:trPr>
          <w:trHeight w:val="450" w:hRule="atLeast"/>
        </w:trPr>
        <w:tc>
          <w:tcPr>
            <w:tcW w:w="426" w:type="dxa"/>
            <w:vMerge w:val="restart"/>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r>
              <w:rPr>
                <w:rFonts w:hint="eastAsia" w:ascii="ＭＳ 明朝" w:hAnsi="ＭＳ 明朝"/>
                <w:sz w:val="22"/>
              </w:rPr>
              <w:t>建築物及び工作物に関する基準</w:t>
            </w:r>
          </w:p>
        </w:tc>
        <w:tc>
          <w:tcPr>
            <w:tcW w:w="986" w:type="dxa"/>
            <w:gridSpan w:val="2"/>
            <w:vMerge w:val="restart"/>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形態</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意匠</w:t>
            </w: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中央通りに面する建築物のデザインは、中央通りの特性を活かした魅力的なものにするように努める。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中央通りに面する店舗の開口部は、閉店後も店舗の個性づくりや町並みの魅力向上に寄与するデザインに努める。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30" w:leftChars="-5" w:hanging="440" w:hangingChars="200"/>
              <w:jc w:val="left"/>
              <w:rPr>
                <w:rFonts w:hint="default" w:ascii="ＭＳ 明朝" w:hAnsi="ＭＳ 明朝"/>
                <w:sz w:val="22"/>
              </w:rPr>
            </w:pPr>
            <w:r>
              <w:rPr>
                <w:rFonts w:hint="eastAsia" w:ascii="ＭＳ 明朝" w:hAnsi="ＭＳ 明朝"/>
                <w:sz w:val="22"/>
              </w:rPr>
              <w:t>○　中央通りに面して高い建築物を建てるときは、通りへの圧迫感、町並みの連続性、日照、通風に配慮する。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4" w:leftChars="2" w:hanging="440" w:hangingChars="200"/>
              <w:jc w:val="left"/>
              <w:rPr>
                <w:rFonts w:hint="default" w:ascii="ＭＳ 明朝" w:hAnsi="ＭＳ 明朝"/>
                <w:sz w:val="22"/>
              </w:rPr>
            </w:pPr>
            <w:r>
              <w:rPr>
                <w:rFonts w:hint="eastAsia" w:ascii="ＭＳ 明朝" w:hAnsi="ＭＳ 明朝"/>
                <w:sz w:val="22"/>
              </w:rPr>
              <w:t>○　中央通りに面する間口の大きな建築物については、町並みの単調さを避けるため、デザインに変化を持たせるように努める。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本川越駅の交差点部を玄関口にふさわしい町並みにするよう努める。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中央通りに面する建築物は、町並みに秩序を持たせるため、</w:t>
            </w:r>
            <w:r>
              <w:rPr>
                <w:rFonts w:hint="eastAsia" w:ascii="ＭＳ 明朝" w:hAnsi="ＭＳ 明朝"/>
                <w:sz w:val="22"/>
              </w:rPr>
              <w:t>1</w:t>
            </w:r>
            <w:r>
              <w:rPr>
                <w:rFonts w:hint="eastAsia" w:ascii="ＭＳ 明朝" w:hAnsi="ＭＳ 明朝"/>
                <w:sz w:val="22"/>
              </w:rPr>
              <w:t>、</w:t>
            </w:r>
            <w:r>
              <w:rPr>
                <w:rFonts w:hint="eastAsia" w:ascii="ＭＳ 明朝" w:hAnsi="ＭＳ 明朝"/>
                <w:sz w:val="22"/>
              </w:rPr>
              <w:t>2</w:t>
            </w:r>
            <w:r>
              <w:rPr>
                <w:rFonts w:hint="eastAsia" w:ascii="ＭＳ 明朝" w:hAnsi="ＭＳ 明朝"/>
                <w:sz w:val="22"/>
              </w:rPr>
              <w:t>階は賑わいのあるデザイン、</w:t>
            </w:r>
            <w:r>
              <w:rPr>
                <w:rFonts w:hint="eastAsia" w:ascii="ＭＳ 明朝" w:hAnsi="ＭＳ 明朝"/>
                <w:sz w:val="22"/>
              </w:rPr>
              <w:t>3</w:t>
            </w:r>
            <w:r>
              <w:rPr>
                <w:rFonts w:hint="eastAsia" w:ascii="ＭＳ 明朝" w:hAnsi="ＭＳ 明朝"/>
                <w:sz w:val="22"/>
              </w:rPr>
              <w:t>階以上は落ち着いたデザインにするように努める。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6" w:leftChars="3" w:hanging="440" w:hangingChars="200"/>
              <w:jc w:val="left"/>
              <w:rPr>
                <w:rFonts w:hint="default" w:ascii="ＭＳ 明朝" w:hAnsi="ＭＳ 明朝"/>
                <w:sz w:val="22"/>
              </w:rPr>
            </w:pPr>
            <w:r>
              <w:rPr>
                <w:rFonts w:hint="eastAsia" w:ascii="ＭＳ 明朝" w:hAnsi="ＭＳ 明朝"/>
                <w:sz w:val="22"/>
              </w:rPr>
              <w:t>○　中央通りに面する建築物（店舗）の１階部分は人を招き入れるしつらえにするように努める。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80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中央通りに面する建築物に駐車場を設ける場合は、建物内に組み込むか、景観に配慮したしつらえとするように努める。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928"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中央通りに面する駐車場などの建築物の建っていない敷地は、町並みの連続性に配慮したしつらえとするように努める。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1112"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公共空間（道路や公園等）への正面性に配慮しつつ、周囲の町並みや環境との調和を図るとともに、壁面の後退や分節化などにより、圧迫感を与えないように配慮する。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2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道路に面した車両の出入口は、必要以上に大きくならないようにし、町並みの連続性に配慮する。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18"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共同住宅では、バルコニー等の形態の工夫により、公共空間（道路や公園等）から洗濯物などが見えにくくなるように配慮する。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4"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屋外階段は、建築物本体との一体感や調和に配慮する。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18"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屋外に設置される建築設備等については、公共空間（道路や公園等）から目立たないような場所への設置や目隠しの設置について配慮する。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212" w:hRule="atLeast"/>
        </w:trPr>
        <w:tc>
          <w:tcPr>
            <w:tcW w:w="426" w:type="dxa"/>
            <w:vMerge w:val="restart"/>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r>
              <w:rPr>
                <w:rFonts w:hint="eastAsia" w:ascii="ＭＳ 明朝" w:hAnsi="ＭＳ 明朝"/>
                <w:sz w:val="22"/>
              </w:rPr>
              <w:t>建築物及び工作物に関する基準</w:t>
            </w:r>
          </w:p>
        </w:tc>
        <w:tc>
          <w:tcPr>
            <w:tcW w:w="986" w:type="dxa"/>
            <w:gridSpan w:val="2"/>
            <w:tcBorders>
              <w:top w:val="none" w:color="auto" w:sz="0" w:space="0"/>
              <w:left w:val="single" w:color="auto" w:sz="6" w:space="0"/>
              <w:bottom w:val="nil"/>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自然素材の使用に努める。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19"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restart"/>
            <w:tcBorders>
              <w:top w:val="nil"/>
              <w:left w:val="single" w:color="auto" w:sz="6"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形態・意匠</w:t>
            </w:r>
          </w:p>
        </w:tc>
        <w:tc>
          <w:tcPr>
            <w:tcW w:w="493" w:type="dxa"/>
            <w:vMerge w:val="restart"/>
            <w:tcBorders>
              <w:top w:val="single" w:color="auto" w:sz="8"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色彩の基準</w:t>
            </w:r>
          </w:p>
        </w:tc>
        <w:tc>
          <w:tcPr>
            <w:tcW w:w="6301" w:type="dxa"/>
            <w:gridSpan w:val="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建築物の外壁や工作物の外観を構成するものの色彩は、周囲の町並みや環境との調和を図るとともに、表</w:t>
            </w:r>
            <w:r>
              <w:rPr>
                <w:rFonts w:hint="eastAsia" w:ascii="ＭＳ 明朝" w:hAnsi="ＭＳ 明朝"/>
                <w:sz w:val="22"/>
              </w:rPr>
              <w:t>1</w:t>
            </w:r>
            <w:r>
              <w:rPr>
                <w:rFonts w:hint="eastAsia" w:ascii="ＭＳ 明朝" w:hAnsi="ＭＳ 明朝"/>
                <w:sz w:val="22"/>
              </w:rPr>
              <w:t>のとおりとする。</w:t>
            </w:r>
          </w:p>
        </w:tc>
        <w:tc>
          <w:tcPr>
            <w:tcW w:w="1128" w:type="dxa"/>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757"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各立面につき、当該面積の</w:t>
            </w:r>
            <w:r>
              <w:rPr>
                <w:rFonts w:hint="eastAsia" w:ascii="ＭＳ 明朝" w:hAnsi="ＭＳ 明朝"/>
                <w:sz w:val="22"/>
              </w:rPr>
              <w:t>10</w:t>
            </w:r>
            <w:r>
              <w:rPr>
                <w:rFonts w:hint="eastAsia" w:ascii="ＭＳ 明朝" w:hAnsi="ＭＳ 明朝"/>
                <w:sz w:val="22"/>
              </w:rPr>
              <w:t>分の１以下の範囲内でアクセント色として着色される部分の色彩については、表</w:t>
            </w:r>
            <w:r>
              <w:rPr>
                <w:rFonts w:hint="eastAsia" w:ascii="ＭＳ 明朝" w:hAnsi="ＭＳ 明朝"/>
                <w:sz w:val="22"/>
              </w:rPr>
              <w:t>1</w:t>
            </w:r>
            <w:r>
              <w:rPr>
                <w:rFonts w:hint="eastAsia" w:ascii="ＭＳ 明朝" w:hAnsi="ＭＳ 明朝"/>
                <w:sz w:val="22"/>
              </w:rPr>
              <w:t>は適用しない。</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14"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建築物の外壁や工作物の外観を構成するものは、原色に近い色彩はできるだけ避けるものとする。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55"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中央通りに面する建築物の色彩は、落ち着いた色調にするよう努める。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748"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shd w:val="clear" w:color="auto" w:fill="F1DED1"/>
              </w:rPr>
            </w:pPr>
            <w:r>
              <w:rPr>
                <w:rFonts w:hint="eastAsia" w:ascii="ＭＳ 明朝" w:hAnsi="ＭＳ 明朝"/>
                <w:sz w:val="22"/>
              </w:rPr>
              <w:t>〇　多色使い又はアクセント色の使用に際しては、使用する色彩相互の調和、使用する色の数や面積等のバランスに十分配慮する。</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734"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着色していない木材、土壁（漆喰仕上げを含む）、石材、ガラス、金属等の材料によって仕上げられる部分の色彩は、表</w:t>
            </w:r>
            <w:r>
              <w:rPr>
                <w:rFonts w:hint="eastAsia" w:ascii="ＭＳ 明朝" w:hAnsi="ＭＳ 明朝"/>
                <w:sz w:val="22"/>
              </w:rPr>
              <w:t>1</w:t>
            </w:r>
            <w:r>
              <w:rPr>
                <w:rFonts w:hint="eastAsia" w:ascii="ＭＳ 明朝" w:hAnsi="ＭＳ 明朝"/>
                <w:sz w:val="22"/>
              </w:rPr>
              <w:t>は適用しない。</w:t>
            </w:r>
          </w:p>
        </w:tc>
        <w:tc>
          <w:tcPr>
            <w:tcW w:w="1128"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4"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8" w:space="0"/>
              <w:bottom w:val="single" w:color="auto" w:sz="6"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他の法令により定められた色彩については、この制限を受けないものとする。</w:t>
            </w:r>
          </w:p>
        </w:tc>
        <w:tc>
          <w:tcPr>
            <w:tcW w:w="1128" w:type="dxa"/>
            <w:tcBorders>
              <w:top w:val="single" w:color="auto" w:sz="4"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448"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形態・意匠への配慮・工夫事項の説明</w:t>
            </w:r>
          </w:p>
        </w:tc>
        <w:tc>
          <w:tcPr>
            <w:tcW w:w="7429" w:type="dxa"/>
            <w:gridSpan w:val="3"/>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top"/>
          </w:tcPr>
          <w:p>
            <w:pPr>
              <w:pStyle w:val="0"/>
              <w:spacing w:before="82" w:beforeLines="30" w:beforeAutospacing="0" w:after="82" w:afterLines="30" w:afterAutospacing="0" w:line="280" w:lineRule="exact"/>
              <w:ind w:left="440" w:hanging="440" w:hangingChars="200"/>
              <w:rPr>
                <w:rFonts w:hint="default" w:ascii="ＭＳ 明朝" w:hAnsi="ＭＳ 明朝"/>
                <w:sz w:val="22"/>
                <w:shd w:val="clear" w:color="auto" w:fill="F3E6CA"/>
              </w:rPr>
            </w:pPr>
          </w:p>
        </w:tc>
      </w:tr>
      <w:tr>
        <w:trPr>
          <w:trHeight w:val="491"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門塀・擁壁等</w:t>
            </w:r>
          </w:p>
        </w:tc>
        <w:tc>
          <w:tcPr>
            <w:tcW w:w="6279" w:type="dxa"/>
            <w:tcBorders>
              <w:top w:val="single" w:color="auto" w:sz="6" w:space="0"/>
              <w:left w:val="single" w:color="auto" w:sz="8" w:space="0"/>
              <w:bottom w:val="single" w:color="auto" w:sz="6" w:space="0"/>
              <w:right w:val="single" w:color="auto" w:sz="4"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中央通りに面して門、塀等は極力避け、やむを得ない場合においては、町並みの連続性に配慮したしつらえとするように努める。</w:t>
            </w:r>
          </w:p>
        </w:tc>
        <w:tc>
          <w:tcPr>
            <w:tcW w:w="1150" w:type="dxa"/>
            <w:gridSpan w:val="2"/>
            <w:tcBorders>
              <w:top w:val="single" w:color="auto" w:sz="6" w:space="0"/>
              <w:left w:val="single" w:color="auto" w:sz="4"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1256"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門塀・擁壁等への配慮・工夫事項の説明</w:t>
            </w:r>
          </w:p>
        </w:tc>
        <w:tc>
          <w:tcPr>
            <w:tcW w:w="7429" w:type="dxa"/>
            <w:gridSpan w:val="3"/>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top"/>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rPr>
            </w:pPr>
          </w:p>
        </w:tc>
      </w:tr>
      <w:tr>
        <w:trPr>
          <w:trHeight w:val="545"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仮設物</w:t>
            </w:r>
          </w:p>
        </w:tc>
        <w:tc>
          <w:tcPr>
            <w:tcW w:w="6301" w:type="dxa"/>
            <w:gridSpan w:val="2"/>
            <w:tcBorders>
              <w:top w:val="single" w:color="auto" w:sz="6" w:space="0"/>
              <w:left w:val="single" w:color="auto" w:sz="8" w:space="0"/>
              <w:bottom w:val="single" w:color="auto" w:sz="6" w:space="0"/>
              <w:right w:val="single" w:color="auto" w:sz="4"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shd w:val="clear" w:color="auto" w:fill="F3E6CA"/>
              </w:rPr>
            </w:pPr>
            <w:r>
              <w:rPr>
                <w:rFonts w:hint="eastAsia" w:ascii="ＭＳ 明朝" w:hAnsi="ＭＳ 明朝"/>
                <w:sz w:val="22"/>
              </w:rPr>
              <w:t>〇　仮囲い等の工事用仮設物や仮設建築物などは、良好な景観を損なわないように、設置場所、形態、色彩等に配慮する。</w:t>
            </w:r>
          </w:p>
        </w:tc>
        <w:tc>
          <w:tcPr>
            <w:tcW w:w="1128" w:type="dxa"/>
            <w:tcBorders>
              <w:top w:val="single" w:color="auto" w:sz="6" w:space="0"/>
              <w:left w:val="single" w:color="auto" w:sz="4"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shd w:val="clear" w:color="auto" w:fill="F3E6CA"/>
              </w:rPr>
            </w:pPr>
            <w:r>
              <w:rPr>
                <w:rFonts w:hint="eastAsia" w:ascii="ＭＳ 明朝" w:hAnsi="ＭＳ 明朝"/>
                <w:sz w:val="22"/>
              </w:rPr>
              <w:t>□</w:t>
            </w:r>
          </w:p>
        </w:tc>
      </w:tr>
      <w:tr>
        <w:trPr>
          <w:trHeight w:val="65" w:hRule="atLeast"/>
        </w:trPr>
        <w:tc>
          <w:tcPr>
            <w:tcW w:w="426" w:type="dxa"/>
            <w:vMerge w:val="restart"/>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r>
              <w:rPr>
                <w:rFonts w:hint="eastAsia" w:ascii="ＭＳ 明朝" w:hAnsi="ＭＳ 明朝"/>
                <w:sz w:val="22"/>
              </w:rPr>
              <w:t>その他の基準</w:t>
            </w:r>
          </w:p>
        </w:tc>
        <w:tc>
          <w:tcPr>
            <w:tcW w:w="986" w:type="dxa"/>
            <w:gridSpan w:val="2"/>
            <w:vMerge w:val="restart"/>
            <w:tcBorders>
              <w:top w:val="single" w:color="auto" w:sz="6"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夜間</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景観</w:t>
            </w:r>
          </w:p>
        </w:tc>
        <w:tc>
          <w:tcPr>
            <w:tcW w:w="6301" w:type="dxa"/>
            <w:gridSpan w:val="2"/>
            <w:tcBorders>
              <w:top w:val="single" w:color="auto" w:sz="6" w:space="0"/>
              <w:left w:val="single" w:color="auto" w:sz="6" w:space="0"/>
              <w:bottom w:val="single" w:color="auto" w:sz="4"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良質な夜間景観を演出するように努める。</w:t>
            </w:r>
          </w:p>
        </w:tc>
        <w:tc>
          <w:tcPr>
            <w:tcW w:w="1128" w:type="dxa"/>
            <w:tcBorders>
              <w:top w:val="single" w:color="auto" w:sz="6" w:space="0"/>
              <w:left w:val="single" w:color="auto" w:sz="6" w:space="0"/>
              <w:bottom w:val="single" w:color="auto" w:sz="4"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85" w:hRule="atLeast"/>
        </w:trPr>
        <w:tc>
          <w:tcPr>
            <w:tcW w:w="426"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6" w:space="0"/>
              <w:left w:val="single" w:color="auto" w:sz="6" w:space="0"/>
              <w:bottom w:val="single" w:color="auto" w:sz="4"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屋外の照明は、周辺環境に配慮し過剰な光が周囲に拡散しないように配慮する。</w:t>
            </w:r>
          </w:p>
        </w:tc>
        <w:tc>
          <w:tcPr>
            <w:tcW w:w="1128" w:type="dxa"/>
            <w:tcBorders>
              <w:top w:val="single" w:color="auto" w:sz="6" w:space="0"/>
              <w:left w:val="single" w:color="auto" w:sz="6" w:space="0"/>
              <w:bottom w:val="single" w:color="auto" w:sz="4"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578" w:hRule="atLeast"/>
        </w:trPr>
        <w:tc>
          <w:tcPr>
            <w:tcW w:w="426"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6" w:space="0"/>
              <w:bottom w:val="single" w:color="auto" w:sz="4"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屋外の照明は、建築物や工作物の形態・意匠や用途に合わせ、それぞれにふさわしい色温度となるように配慮する。</w:t>
            </w:r>
          </w:p>
        </w:tc>
        <w:tc>
          <w:tcPr>
            <w:tcW w:w="1128" w:type="dxa"/>
            <w:tcBorders>
              <w:top w:val="single" w:color="auto" w:sz="4" w:space="0"/>
              <w:left w:val="single" w:color="auto" w:sz="6" w:space="0"/>
              <w:bottom w:val="single" w:color="auto" w:sz="8"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270" w:hRule="atLeast"/>
        </w:trPr>
        <w:tc>
          <w:tcPr>
            <w:tcW w:w="426"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r>
              <w:rPr>
                <w:rFonts w:hint="eastAsia" w:ascii="ＭＳ 明朝" w:hAnsi="ＭＳ 明朝"/>
                <w:sz w:val="22"/>
              </w:rPr>
              <w:t>その他の基準</w:t>
            </w:r>
          </w:p>
        </w:tc>
        <w:tc>
          <w:tcPr>
            <w:tcW w:w="98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屋外</w:t>
            </w:r>
          </w:p>
          <w:p>
            <w:pPr>
              <w:pStyle w:val="0"/>
              <w:spacing w:before="82" w:beforeLines="30" w:beforeAutospacing="0" w:after="82" w:afterLines="30" w:afterAutospacing="0" w:line="280" w:lineRule="exact"/>
              <w:jc w:val="center"/>
              <w:rPr>
                <w:rFonts w:hint="default" w:ascii="ＭＳ 明朝" w:hAnsi="ＭＳ 明朝"/>
                <w:sz w:val="22"/>
                <w:shd w:val="clear" w:color="auto" w:fill="F3E6CA"/>
              </w:rPr>
            </w:pPr>
            <w:r>
              <w:rPr>
                <w:rFonts w:hint="eastAsia" w:ascii="ＭＳ 明朝" w:hAnsi="ＭＳ 明朝"/>
                <w:sz w:val="22"/>
              </w:rPr>
              <w:t>広告物</w:t>
            </w:r>
          </w:p>
        </w:tc>
        <w:tc>
          <w:tcPr>
            <w:tcW w:w="6301"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屋外広告物の設置にあたっては、関係法令を遵守し、町並みの魅力向上に寄与するデザインとする。</w:t>
            </w:r>
          </w:p>
        </w:tc>
        <w:tc>
          <w:tcPr>
            <w:tcW w:w="1128"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210" w:hRule="atLeast"/>
        </w:trPr>
        <w:tc>
          <w:tcPr>
            <w:tcW w:w="426"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緑化等</w:t>
            </w:r>
          </w:p>
        </w:tc>
        <w:tc>
          <w:tcPr>
            <w:tcW w:w="6301"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既存樹木については、できる限り保存し活かす。</w:t>
            </w:r>
          </w:p>
        </w:tc>
        <w:tc>
          <w:tcPr>
            <w:tcW w:w="1128"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公共空間（道路や公園等）に接する部分については、緑化を図るなど、空間のつながり方に配慮する。</w:t>
            </w:r>
          </w:p>
        </w:tc>
        <w:tc>
          <w:tcPr>
            <w:tcW w:w="112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中央通りに面する戸建て住宅以外で、道路から</w:t>
            </w:r>
            <w:r>
              <w:rPr>
                <w:rFonts w:hint="eastAsia" w:ascii="ＭＳ 明朝" w:hAnsi="ＭＳ 明朝"/>
                <w:sz w:val="22"/>
              </w:rPr>
              <w:t>3</w:t>
            </w:r>
            <w:r>
              <w:rPr>
                <w:rFonts w:hint="eastAsia" w:ascii="ＭＳ 明朝" w:hAnsi="ＭＳ 明朝"/>
                <w:sz w:val="22"/>
              </w:rPr>
              <w:t>ｍ以上、壁面を後退させた場合は、植栽・照明等の設置に努める。</w:t>
            </w:r>
          </w:p>
        </w:tc>
        <w:tc>
          <w:tcPr>
            <w:tcW w:w="112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中央通りに面する敷地では、通りに面して花や緑を設けるように努める。</w:t>
            </w:r>
          </w:p>
        </w:tc>
        <w:tc>
          <w:tcPr>
            <w:tcW w:w="112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56" w:hRule="atLeast"/>
        </w:trPr>
        <w:tc>
          <w:tcPr>
            <w:tcW w:w="426"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gridSpan w:val="2"/>
            <w:tcBorders>
              <w:top w:val="single" w:color="auto" w:sz="4" w:space="0"/>
              <w:left w:val="single" w:color="auto" w:sz="4" w:space="0"/>
              <w:bottom w:val="none" w:color="auto" w:sz="0"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中央通り以外の道路に面する側は、生け垣などによる緑化に努める。</w:t>
            </w:r>
          </w:p>
        </w:tc>
        <w:tc>
          <w:tcPr>
            <w:tcW w:w="1128" w:type="dxa"/>
            <w:tcBorders>
              <w:top w:val="single" w:color="auto" w:sz="4"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ワゴン</w:t>
            </w:r>
          </w:p>
        </w:tc>
        <w:tc>
          <w:tcPr>
            <w:tcW w:w="6301"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物販を目的としたワゴン等の設置に際しては、道路法を遵守し、町並みの魅力向上に努めるようにする。</w:t>
            </w:r>
          </w:p>
        </w:tc>
        <w:tc>
          <w:tcPr>
            <w:tcW w:w="112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483" w:hRule="atLeast"/>
        </w:trPr>
        <w:tc>
          <w:tcPr>
            <w:tcW w:w="426"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自動販売機</w:t>
            </w:r>
          </w:p>
        </w:tc>
        <w:tc>
          <w:tcPr>
            <w:tcW w:w="6301"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自動販売機などは、町並みに配慮した配置やデザインに努める。</w:t>
            </w:r>
          </w:p>
        </w:tc>
        <w:tc>
          <w:tcPr>
            <w:tcW w:w="112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1315" w:hRule="atLeast"/>
        </w:trPr>
        <w:tc>
          <w:tcPr>
            <w:tcW w:w="426"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98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その他の基準への配慮・工夫事項の説明</w:t>
            </w:r>
          </w:p>
        </w:tc>
        <w:tc>
          <w:tcPr>
            <w:tcW w:w="7429" w:type="dxa"/>
            <w:gridSpan w:val="3"/>
            <w:tcBorders>
              <w:top w:val="single" w:color="auto" w:sz="4" w:space="0"/>
              <w:left w:val="single" w:color="auto" w:sz="4" w:space="0"/>
              <w:bottom w:val="none" w:color="auto" w:sz="0" w:space="0"/>
              <w:right w:val="single" w:color="auto" w:sz="8" w:space="0"/>
              <w:tl2br w:val="none" w:color="auto" w:sz="0" w:space="0"/>
              <w:tr2bl w:val="none" w:color="auto" w:sz="0" w:space="0"/>
            </w:tcBorders>
            <w:vAlign w:val="top"/>
          </w:tcPr>
          <w:p>
            <w:pPr>
              <w:pStyle w:val="0"/>
              <w:spacing w:before="82" w:beforeLines="30" w:beforeAutospacing="0" w:after="82" w:afterLines="30" w:afterAutospacing="0" w:line="280" w:lineRule="exact"/>
              <w:jc w:val="left"/>
              <w:rPr>
                <w:rFonts w:hint="default" w:ascii="ＭＳ 明朝" w:hAnsi="ＭＳ 明朝"/>
                <w:sz w:val="22"/>
              </w:rPr>
            </w:pPr>
          </w:p>
        </w:tc>
      </w:tr>
    </w:tbl>
    <w:p>
      <w:pPr>
        <w:pStyle w:val="0"/>
        <w:widowControl w:val="1"/>
        <w:spacing w:before="82" w:beforeLines="30" w:beforeAutospacing="0" w:after="82" w:afterLines="30" w:afterAutospacing="0" w:line="280" w:lineRule="exact"/>
        <w:jc w:val="left"/>
        <w:rPr>
          <w:rFonts w:hint="default" w:ascii="ＭＳ 明朝" w:hAnsi="ＭＳ 明朝"/>
          <w:sz w:val="22"/>
        </w:rPr>
      </w:pPr>
    </w:p>
    <w:tbl>
      <w:tblPr>
        <w:tblStyle w:val="48"/>
        <w:tblW w:w="8778" w:type="dxa"/>
        <w:tblInd w:w="0" w:type="dxa"/>
        <w:tblLayout w:type="fixed"/>
        <w:tblLook w:firstRow="1" w:lastRow="0" w:firstColumn="1" w:lastColumn="0" w:noHBand="0" w:noVBand="1" w:val="04A0"/>
      </w:tblPr>
      <w:tblGrid>
        <w:gridCol w:w="437"/>
        <w:gridCol w:w="986"/>
        <w:gridCol w:w="6326"/>
        <w:gridCol w:w="1029"/>
      </w:tblGrid>
      <w:tr>
        <w:trPr/>
        <w:tc>
          <w:tcPr>
            <w:tcW w:w="882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r>
              <w:rPr>
                <w:rFonts w:hint="eastAsia" w:ascii="ＭＳ 明朝" w:hAnsi="ＭＳ 明朝"/>
                <w:sz w:val="22"/>
              </w:rPr>
              <w:t>地域が定めた自主的な規定です。景観法等に基づくものではありません。</w:t>
            </w:r>
          </w:p>
        </w:tc>
      </w:tr>
      <w:tr>
        <w:trPr/>
        <w:tc>
          <w:tcPr>
            <w:tcW w:w="437" w:type="dxa"/>
            <w:vMerge w:val="restart"/>
            <w:vAlign w:val="center"/>
          </w:tcPr>
          <w:p>
            <w:pPr>
              <w:pStyle w:val="0"/>
              <w:spacing w:before="82" w:beforeLines="30" w:beforeAutospacing="0" w:after="82" w:afterLines="30" w:afterAutospacing="0" w:line="280" w:lineRule="exact"/>
              <w:jc w:val="left"/>
              <w:rPr>
                <w:rFonts w:hint="default" w:ascii="ＭＳ 明朝" w:hAnsi="ＭＳ 明朝"/>
                <w:sz w:val="22"/>
              </w:rPr>
            </w:pPr>
            <w:r>
              <w:rPr>
                <w:rFonts w:hint="eastAsia" w:ascii="ＭＳ 明朝" w:hAnsi="ＭＳ 明朝"/>
                <w:sz w:val="22"/>
              </w:rPr>
              <w:t>自主規定</w:t>
            </w:r>
          </w:p>
        </w:tc>
        <w:tc>
          <w:tcPr>
            <w:tcW w:w="990" w:type="dxa"/>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管理</w:t>
            </w:r>
          </w:p>
        </w:tc>
        <w:tc>
          <w:tcPr>
            <w:tcW w:w="6367" w:type="dxa"/>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空き地及び工事中の敷地、屋外駐車場、駐輪場においては管理を徹底する。</w:t>
            </w:r>
          </w:p>
        </w:tc>
        <w:tc>
          <w:tcPr>
            <w:tcW w:w="1034" w:type="dxa"/>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c>
          <w:tcPr>
            <w:tcW w:w="437" w:type="dxa"/>
            <w:vMerge w:val="continue"/>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p>
        </w:tc>
        <w:tc>
          <w:tcPr>
            <w:tcW w:w="990" w:type="dxa"/>
            <w:vMerge w:val="restart"/>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用途</w:t>
            </w:r>
          </w:p>
        </w:tc>
        <w:tc>
          <w:tcPr>
            <w:tcW w:w="6367" w:type="dxa"/>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中央通りに面する戸建て住宅を除く建築物の</w:t>
            </w:r>
            <w:r>
              <w:rPr>
                <w:rFonts w:hint="eastAsia" w:ascii="ＭＳ 明朝" w:hAnsi="ＭＳ 明朝"/>
                <w:sz w:val="22"/>
              </w:rPr>
              <w:t>1</w:t>
            </w:r>
            <w:r>
              <w:rPr>
                <w:rFonts w:hint="eastAsia" w:ascii="ＭＳ 明朝" w:hAnsi="ＭＳ 明朝"/>
                <w:sz w:val="22"/>
              </w:rPr>
              <w:t>階の用途は極力、店舗にする。</w:t>
            </w:r>
          </w:p>
        </w:tc>
        <w:tc>
          <w:tcPr>
            <w:tcW w:w="1034" w:type="dxa"/>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c>
          <w:tcPr>
            <w:tcW w:w="437" w:type="dxa"/>
            <w:vMerge w:val="continue"/>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p>
        </w:tc>
        <w:tc>
          <w:tcPr>
            <w:tcW w:w="990" w:type="dxa"/>
            <w:vMerge w:val="continue"/>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p>
        </w:tc>
        <w:tc>
          <w:tcPr>
            <w:tcW w:w="6367" w:type="dxa"/>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建築物の用途は、風俗営業等の規制及び業務の適正化等に関する法律における第</w:t>
            </w:r>
            <w:r>
              <w:rPr>
                <w:rFonts w:hint="eastAsia" w:ascii="ＭＳ 明朝" w:hAnsi="ＭＳ 明朝"/>
                <w:sz w:val="22"/>
              </w:rPr>
              <w:t>2</w:t>
            </w:r>
            <w:r>
              <w:rPr>
                <w:rFonts w:hint="eastAsia" w:ascii="ＭＳ 明朝" w:hAnsi="ＭＳ 明朝"/>
                <w:sz w:val="22"/>
              </w:rPr>
              <w:t>条第</w:t>
            </w:r>
            <w:r>
              <w:rPr>
                <w:rFonts w:hint="eastAsia" w:ascii="ＭＳ 明朝" w:hAnsi="ＭＳ 明朝"/>
                <w:sz w:val="22"/>
              </w:rPr>
              <w:t>6</w:t>
            </w:r>
            <w:r>
              <w:rPr>
                <w:rFonts w:hint="eastAsia" w:ascii="ＭＳ 明朝" w:hAnsi="ＭＳ 明朝"/>
                <w:sz w:val="22"/>
              </w:rPr>
              <w:t>項店舗型性風俗特殊営業と第</w:t>
            </w:r>
            <w:r>
              <w:rPr>
                <w:rFonts w:hint="eastAsia" w:ascii="ＭＳ 明朝" w:hAnsi="ＭＳ 明朝"/>
                <w:sz w:val="22"/>
              </w:rPr>
              <w:t>2</w:t>
            </w:r>
            <w:r>
              <w:rPr>
                <w:rFonts w:hint="eastAsia" w:ascii="ＭＳ 明朝" w:hAnsi="ＭＳ 明朝"/>
                <w:sz w:val="22"/>
              </w:rPr>
              <w:t>条第</w:t>
            </w:r>
            <w:r>
              <w:rPr>
                <w:rFonts w:hint="eastAsia" w:ascii="ＭＳ 明朝" w:hAnsi="ＭＳ 明朝"/>
                <w:sz w:val="22"/>
              </w:rPr>
              <w:t>7</w:t>
            </w:r>
            <w:r>
              <w:rPr>
                <w:rFonts w:hint="eastAsia" w:ascii="ＭＳ 明朝" w:hAnsi="ＭＳ 明朝"/>
                <w:sz w:val="22"/>
              </w:rPr>
              <w:t>項無店舗型性風俗特殊営業を禁止する。</w:t>
            </w:r>
          </w:p>
        </w:tc>
        <w:tc>
          <w:tcPr>
            <w:tcW w:w="1034" w:type="dxa"/>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c>
          <w:tcPr>
            <w:tcW w:w="437" w:type="dxa"/>
            <w:vMerge w:val="continue"/>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p>
        </w:tc>
        <w:tc>
          <w:tcPr>
            <w:tcW w:w="990" w:type="dxa"/>
            <w:vMerge w:val="restart"/>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事前　協議</w:t>
            </w:r>
          </w:p>
        </w:tc>
        <w:tc>
          <w:tcPr>
            <w:tcW w:w="6367" w:type="dxa"/>
            <w:vAlign w:val="top"/>
          </w:tcPr>
          <w:p>
            <w:pPr>
              <w:pStyle w:val="0"/>
              <w:widowControl w:val="1"/>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〇　高さが</w:t>
            </w:r>
            <w:r>
              <w:rPr>
                <w:rFonts w:hint="eastAsia" w:ascii="ＭＳ 明朝" w:hAnsi="ＭＳ 明朝"/>
                <w:sz w:val="22"/>
              </w:rPr>
              <w:t>15</w:t>
            </w:r>
            <w:r>
              <w:rPr>
                <w:rFonts w:hint="eastAsia" w:ascii="ＭＳ 明朝" w:hAnsi="ＭＳ 明朝"/>
                <w:sz w:val="22"/>
              </w:rPr>
              <w:t>ｍを超え、又は建築面積が</w:t>
            </w:r>
            <w:r>
              <w:rPr>
                <w:rFonts w:hint="eastAsia" w:ascii="ＭＳ 明朝" w:hAnsi="ＭＳ 明朝"/>
                <w:sz w:val="22"/>
              </w:rPr>
              <w:t>1,000</w:t>
            </w:r>
            <w:r>
              <w:rPr>
                <w:rFonts w:hint="eastAsia" w:ascii="ＭＳ 明朝" w:hAnsi="ＭＳ 明朝"/>
                <w:sz w:val="22"/>
              </w:rPr>
              <w:t>㎡を超える建築物を建築しようとする場合には、行為の届出の前に地区の自治会及び商店街と都市景観形成基準に関して協議することとする。</w:t>
            </w:r>
          </w:p>
        </w:tc>
        <w:tc>
          <w:tcPr>
            <w:tcW w:w="1034" w:type="dxa"/>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c>
          <w:tcPr>
            <w:tcW w:w="437" w:type="dxa"/>
            <w:vMerge w:val="continue"/>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p>
        </w:tc>
        <w:tc>
          <w:tcPr>
            <w:tcW w:w="990" w:type="dxa"/>
            <w:vMerge w:val="continue"/>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p>
        </w:tc>
        <w:tc>
          <w:tcPr>
            <w:tcW w:w="6367" w:type="dxa"/>
            <w:vAlign w:val="top"/>
          </w:tcPr>
          <w:p>
            <w:pPr>
              <w:pStyle w:val="0"/>
              <w:widowControl w:val="1"/>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〇　中央通りに面して、高さが</w:t>
            </w:r>
            <w:r>
              <w:rPr>
                <w:rFonts w:hint="eastAsia" w:ascii="ＭＳ 明朝" w:hAnsi="ＭＳ 明朝"/>
                <w:sz w:val="22"/>
              </w:rPr>
              <w:t>15</w:t>
            </w:r>
            <w:r>
              <w:rPr>
                <w:rFonts w:hint="eastAsia" w:ascii="ＭＳ 明朝" w:hAnsi="ＭＳ 明朝"/>
                <w:sz w:val="22"/>
              </w:rPr>
              <w:t>ｍ以下、かつ建築面積が</w:t>
            </w:r>
            <w:r>
              <w:rPr>
                <w:rFonts w:hint="eastAsia" w:ascii="ＭＳ 明朝" w:hAnsi="ＭＳ 明朝"/>
                <w:sz w:val="22"/>
              </w:rPr>
              <w:t>1,000</w:t>
            </w:r>
            <w:r>
              <w:rPr>
                <w:rFonts w:hint="eastAsia" w:ascii="ＭＳ 明朝" w:hAnsi="ＭＳ 明朝"/>
                <w:sz w:val="22"/>
              </w:rPr>
              <w:t>㎡以下の建築物を建築しようとする場合には、行為の届出の前に中央通り周辺地区の自治会及び商店街と都市景観形成基準に関して協議することとする。</w:t>
            </w:r>
          </w:p>
        </w:tc>
        <w:tc>
          <w:tcPr>
            <w:tcW w:w="1034" w:type="dxa"/>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bl>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eastAsia"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r>
        <w:rPr>
          <w:rFonts w:hint="default" w:asciiTheme="majorEastAsia" w:hAnsiTheme="majorEastAsia" w:eastAsiaTheme="majorEastAsia"/>
          <w:sz w:val="20"/>
          <w:shd w:val="clear" w:color="auto" w:fill="F9E3D7"/>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0</wp:posOffset>
                </wp:positionV>
                <wp:extent cx="5661660" cy="1704975"/>
                <wp:effectExtent l="0" t="0" r="635" b="635"/>
                <wp:wrapNone/>
                <wp:docPr id="1026" name="Text Box 207"/>
                <a:graphic xmlns:a="http://schemas.openxmlformats.org/drawingml/2006/main">
                  <a:graphicData uri="http://schemas.microsoft.com/office/word/2010/wordprocessingShape">
                    <wps:wsp>
                      <wps:cNvPr id="1026" name="Text Box 207"/>
                      <wps:cNvSpPr txBox="1">
                        <a:spLocks noChangeArrowheads="1"/>
                      </wps:cNvSpPr>
                      <wps:spPr>
                        <a:xfrm>
                          <a:off x="0" y="0"/>
                          <a:ext cx="5661660" cy="1704975"/>
                        </a:xfrm>
                        <a:prstGeom prst="rect">
                          <a:avLst/>
                        </a:prstGeom>
                        <a:noFill/>
                        <a:ln>
                          <a:noFill/>
                        </a:ln>
                      </wps:spPr>
                      <wps:txbx>
                        <w:txbxContent>
                          <w:p>
                            <w:pPr>
                              <w:pStyle w:val="0"/>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default" w:asciiTheme="majorEastAsia" w:hAnsiTheme="majorEastAsia" w:eastAsiaTheme="majorEastAsia"/>
                                <w:sz w:val="22"/>
                              </w:rPr>
                              <w:t>１　</w:t>
                            </w:r>
                            <w:r>
                              <w:rPr>
                                <w:rFonts w:hint="eastAsia" w:asciiTheme="majorEastAsia" w:hAnsiTheme="majorEastAsia" w:eastAsiaTheme="majorEastAsia"/>
                                <w:sz w:val="22"/>
                              </w:rPr>
                              <w:t>クレアモール・八幡通り・中央通り周辺地区の色彩の</w:t>
                            </w:r>
                            <w:r>
                              <w:rPr>
                                <w:rFonts w:hint="default" w:asciiTheme="majorEastAsia" w:hAnsiTheme="majorEastAsia" w:eastAsiaTheme="majorEastAsia"/>
                                <w:sz w:val="22"/>
                              </w:rPr>
                              <w:t>範囲</w:t>
                            </w:r>
                            <w:r>
                              <w:rPr>
                                <w:rFonts w:hint="eastAsia" w:asciiTheme="majorEastAsia" w:hAnsiTheme="majorEastAsia" w:eastAsiaTheme="majorEastAsia"/>
                                <w:sz w:val="22"/>
                              </w:rPr>
                              <w:t>＞</w:t>
                            </w:r>
                          </w:p>
                          <w:p>
                            <w:pPr>
                              <w:pStyle w:val="0"/>
                              <w:spacing w:line="240" w:lineRule="exact"/>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（数値はマンセル表色法によるマンセル値）</w:t>
                            </w:r>
                          </w:p>
                          <w:tbl>
                            <w:tblPr>
                              <w:tblStyle w:val="11"/>
                              <w:tblW w:w="833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99"/>
                              <w:gridCol w:w="2268"/>
                              <w:gridCol w:w="2268"/>
                            </w:tblGrid>
                            <w:tr>
                              <w:trPr/>
                              <w:tc>
                                <w:tcPr>
                                  <w:tcW w:w="3799"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色相</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明度</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彩度</w:t>
                                  </w:r>
                                </w:p>
                              </w:tc>
                            </w:tr>
                            <w:tr>
                              <w:trPr>
                                <w:trHeight w:val="63" w:hRule="atLeast"/>
                              </w:trPr>
                              <w:tc>
                                <w:tcPr>
                                  <w:tcW w:w="3799"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74" w:hRule="atLeast"/>
                              </w:trPr>
                              <w:tc>
                                <w:tcPr>
                                  <w:tcW w:w="3799"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74" w:hRule="atLeast"/>
                              </w:trPr>
                              <w:tc>
                                <w:tcPr>
                                  <w:tcW w:w="3799"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63" w:hRule="atLeast"/>
                              </w:trPr>
                              <w:tc>
                                <w:tcPr>
                                  <w:tcW w:w="379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bl>
                          <w:p>
                            <w:pPr>
                              <w:pStyle w:val="0"/>
                              <w:rPr>
                                <w:rFonts w:hint="default"/>
                                <w:sz w:val="22"/>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07" style="mso-wrap-distance-right:9pt;mso-wrap-distance-bottom:0pt;margin-top:0pt;mso-position-vertical-relative:text;mso-position-horizontal-relative:text;v-text-anchor:top;position:absolute;height:134.25pt;mso-wrap-distance-top:0pt;width:445.8pt;mso-wrap-distance-left:9pt;margin-left:0pt;z-index:2;" o:spid="_x0000_s1026" o:allowincell="t" o:allowoverlap="t" filled="f" stroked="f" o:spt="202" type="#_x0000_t202">
                <v:fill/>
                <v:textbox style="layout-flow:horizontal;" inset="2.5399999999999996mm,1.2699999999999998mm,2.5399999999999996mm,1.2699999999999998mm">
                  <w:txbxContent>
                    <w:p>
                      <w:pPr>
                        <w:pStyle w:val="0"/>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default" w:asciiTheme="majorEastAsia" w:hAnsiTheme="majorEastAsia" w:eastAsiaTheme="majorEastAsia"/>
                          <w:sz w:val="22"/>
                        </w:rPr>
                        <w:t>１　</w:t>
                      </w:r>
                      <w:r>
                        <w:rPr>
                          <w:rFonts w:hint="eastAsia" w:asciiTheme="majorEastAsia" w:hAnsiTheme="majorEastAsia" w:eastAsiaTheme="majorEastAsia"/>
                          <w:sz w:val="22"/>
                        </w:rPr>
                        <w:t>クレアモール・八幡通り・中央通り周辺地区の色彩の</w:t>
                      </w:r>
                      <w:r>
                        <w:rPr>
                          <w:rFonts w:hint="default" w:asciiTheme="majorEastAsia" w:hAnsiTheme="majorEastAsia" w:eastAsiaTheme="majorEastAsia"/>
                          <w:sz w:val="22"/>
                        </w:rPr>
                        <w:t>範囲</w:t>
                      </w:r>
                      <w:r>
                        <w:rPr>
                          <w:rFonts w:hint="eastAsia" w:asciiTheme="majorEastAsia" w:hAnsiTheme="majorEastAsia" w:eastAsiaTheme="majorEastAsia"/>
                          <w:sz w:val="22"/>
                        </w:rPr>
                        <w:t>＞</w:t>
                      </w:r>
                    </w:p>
                    <w:p>
                      <w:pPr>
                        <w:pStyle w:val="0"/>
                        <w:spacing w:line="240" w:lineRule="exact"/>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（数値はマンセル表色法によるマンセル値）</w:t>
                      </w:r>
                    </w:p>
                    <w:tbl>
                      <w:tblPr>
                        <w:tblStyle w:val="11"/>
                        <w:tblW w:w="833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99"/>
                        <w:gridCol w:w="2268"/>
                        <w:gridCol w:w="2268"/>
                      </w:tblGrid>
                      <w:tr>
                        <w:trPr/>
                        <w:tc>
                          <w:tcPr>
                            <w:tcW w:w="3799"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色相</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明度</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彩度</w:t>
                            </w:r>
                          </w:p>
                        </w:tc>
                      </w:tr>
                      <w:tr>
                        <w:trPr>
                          <w:trHeight w:val="63" w:hRule="atLeast"/>
                        </w:trPr>
                        <w:tc>
                          <w:tcPr>
                            <w:tcW w:w="3799"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74" w:hRule="atLeast"/>
                        </w:trPr>
                        <w:tc>
                          <w:tcPr>
                            <w:tcW w:w="3799"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74" w:hRule="atLeast"/>
                        </w:trPr>
                        <w:tc>
                          <w:tcPr>
                            <w:tcW w:w="3799"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63" w:hRule="atLeast"/>
                        </w:trPr>
                        <w:tc>
                          <w:tcPr>
                            <w:tcW w:w="379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bl>
                    <w:p>
                      <w:pPr>
                        <w:pStyle w:val="0"/>
                        <w:rPr>
                          <w:rFonts w:hint="default"/>
                          <w:sz w:val="22"/>
                        </w:rPr>
                      </w:pPr>
                    </w:p>
                  </w:txbxContent>
                </v:textbox>
                <v:imagedata o:title=""/>
                <w10:wrap type="none" anchorx="text" anchory="text"/>
              </v:shape>
            </w:pict>
          </mc:Fallback>
        </mc:AlternateContent>
      </w: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jc w:val="left"/>
        <w:rPr>
          <w:rFonts w:hint="default" w:ascii="ＭＳ 明朝" w:hAnsi="ＭＳ 明朝"/>
          <w:sz w:val="22"/>
        </w:rPr>
      </w:pPr>
      <w:r>
        <w:rPr>
          <w:rFonts w:hint="eastAsia"/>
          <w:sz w:val="20"/>
        </w:rPr>
        <w:t>備考　チェック欄については、該当する□にレ点を記入してください。</w:t>
      </w:r>
    </w:p>
    <w:sectPr>
      <w:headerReference r:id="rId5" w:type="even"/>
      <w:headerReference r:id="rId6" w:type="default"/>
      <w:footerReference r:id="rId7" w:type="even"/>
      <w:pgSz w:w="11907" w:h="16839"/>
      <w:pgMar w:top="1418" w:right="1418" w:bottom="1418" w:left="170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S明朝E">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Century Gothic">
    <w:panose1 w:val="00000000000000000000"/>
    <w:charset w:val="00"/>
    <w:family w:val="swiss"/>
    <w:notTrueType/>
    <w:pitch w:val="variable"/>
    <w:sig w:usb0="00000000" w:usb1="00000000" w:usb2="00000000" w:usb3="00000000" w:csb0="FF000000" w:csb1="00000000"/>
  </w:font>
  <w:font w:name="Palatino Linotype">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framePr w:wrap="around" w:hAnchor="margin" w:vAnchor="text" w:x="-4" w:y="2"/>
      <w:rPr>
        <w:rStyle w:val="34"/>
        <w:rFonts w:hint="default" w:ascii="HG丸ｺﾞｼｯｸM-PRO" w:hAnsi="HG丸ｺﾞｼｯｸM-PRO" w:eastAsia="HG丸ｺﾞｼｯｸM-PRO"/>
      </w:rPr>
    </w:pPr>
    <w:r>
      <w:rPr>
        <w:rStyle w:val="34"/>
        <w:rFonts w:hint="default" w:ascii="HG丸ｺﾞｼｯｸM-PRO" w:hAnsi="HG丸ｺﾞｼｯｸM-PRO" w:eastAsia="HG丸ｺﾞｼｯｸM-PRO"/>
      </w:rPr>
      <w:t xml:space="preserve">- </w:t>
    </w:r>
    <w:r>
      <w:rPr>
        <w:rFonts w:hint="eastAsia"/>
      </w:rPr>
      <w:fldChar w:fldCharType="begin"/>
    </w:r>
    <w:r>
      <w:rPr>
        <w:rFonts w:hint="eastAsia"/>
      </w:rPr>
      <w:instrText xml:space="preserve">PAGE  \* MERGEFORMAT </w:instrText>
    </w:r>
    <w:r>
      <w:rPr>
        <w:rFonts w:hint="eastAsia"/>
      </w:rPr>
      <w:fldChar w:fldCharType="separate"/>
    </w:r>
    <w:r>
      <w:rPr>
        <w:rStyle w:val="34"/>
        <w:rFonts w:hint="default" w:ascii="HG丸ｺﾞｼｯｸM-PRO" w:hAnsi="HG丸ｺﾞｼｯｸM-PRO" w:eastAsia="HG丸ｺﾞｼｯｸM-PRO"/>
      </w:rPr>
      <w:t>2</w:t>
    </w:r>
    <w:r>
      <w:rPr>
        <w:rFonts w:hint="eastAsia"/>
      </w:rPr>
      <w:fldChar w:fldCharType="end"/>
    </w:r>
    <w:r>
      <w:rPr>
        <w:rStyle w:val="34"/>
        <w:rFonts w:hint="default" w:ascii="HG丸ｺﾞｼｯｸM-PRO" w:hAnsi="HG丸ｺﾞｼｯｸM-PRO" w:eastAsia="HG丸ｺﾞｼｯｸM-PRO"/>
      </w:rPr>
      <w:t xml:space="preserve"> -</w:t>
    </w:r>
  </w:p>
  <w:p>
    <w:pPr>
      <w:pStyle w:val="2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rPr>
      <w:t>様式第</w:t>
    </w:r>
    <w:r>
      <w:rPr>
        <w:rFonts w:hint="eastAsia"/>
      </w:rPr>
      <w:t>3</w:t>
    </w:r>
    <w:r>
      <w:rPr>
        <w:rFonts w:hint="eastAsia"/>
      </w:rPr>
      <w:t>の</w:t>
    </w:r>
    <w:r>
      <w:rPr>
        <w:rFonts w:hint="eastAsia"/>
      </w:rPr>
      <w:t>3</w:t>
    </w:r>
    <w:r>
      <w:rPr>
        <w:rFonts w:hint="eastAsia"/>
      </w:rPr>
      <w:t>号（第</w:t>
    </w:r>
    <w:r>
      <w:rPr>
        <w:rFonts w:hint="eastAsia"/>
      </w:rPr>
      <w:t>4</w:t>
    </w:r>
    <w:r>
      <w:rPr>
        <w:rFonts w:hint="eastAsia"/>
      </w:rPr>
      <w:t>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sz w:val="20"/>
      </w:rPr>
      <w:t>様式第７号（第２条関係）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Theme="minorEastAsia"/>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１）見出し"/>
    <w:basedOn w:val="0"/>
    <w:next w:val="15"/>
    <w:link w:val="0"/>
    <w:uiPriority w:val="0"/>
    <w:qFormat/>
    <w:pPr>
      <w:spacing w:before="220" w:beforeLines="80" w:beforeAutospacing="0" w:line="340" w:lineRule="exact"/>
      <w:ind w:left="840" w:hanging="840" w:hangingChars="300"/>
    </w:pPr>
    <w:rPr>
      <w:rFonts w:ascii="HGS創英角ｺﾞｼｯｸUB" w:hAnsi="HGS創英角ｺﾞｼｯｸUB" w:eastAsia="HGS創英角ｺﾞｼｯｸUB"/>
      <w:sz w:val="28"/>
    </w:rPr>
  </w:style>
  <w:style w:type="paragraph" w:styleId="16" w:customStyle="1">
    <w:name w:val="本文（MS明朝）"/>
    <w:basedOn w:val="0"/>
    <w:next w:val="16"/>
    <w:link w:val="0"/>
    <w:uiPriority w:val="0"/>
    <w:qFormat/>
    <w:pPr>
      <w:spacing w:before="82" w:beforeLines="30" w:beforeAutospacing="0" w:line="440" w:lineRule="atLeast"/>
      <w:ind w:left="283" w:leftChars="135" w:firstLine="221"/>
    </w:pPr>
    <w:rPr>
      <w:rFonts w:asciiTheme="minorEastAsia" w:hAnsiTheme="minorEastAsia" w:eastAsiaTheme="minorEastAsia"/>
      <w:sz w:val="22"/>
    </w:rPr>
  </w:style>
  <w:style w:type="paragraph" w:styleId="17" w:customStyle="1">
    <w:name w:val="※注釈"/>
    <w:basedOn w:val="16"/>
    <w:next w:val="17"/>
    <w:link w:val="0"/>
    <w:uiPriority w:val="0"/>
    <w:qFormat/>
    <w:pPr>
      <w:spacing w:before="180" w:beforeLines="0" w:beforeAutospacing="0" w:line="260" w:lineRule="exact"/>
      <w:ind w:left="1260" w:leftChars="500" w:hanging="210" w:hangingChars="100"/>
    </w:pPr>
    <w:rPr>
      <w:sz w:val="21"/>
    </w:rPr>
  </w:style>
  <w:style w:type="paragraph" w:styleId="18" w:customStyle="1">
    <w:name w:val="○計画説明"/>
    <w:basedOn w:val="0"/>
    <w:next w:val="18"/>
    <w:link w:val="0"/>
    <w:uiPriority w:val="0"/>
    <w:qFormat/>
    <w:pPr>
      <w:spacing w:line="360" w:lineRule="exact"/>
      <w:ind w:left="955" w:leftChars="350" w:right="34" w:hanging="220" w:hangingChars="100"/>
    </w:pPr>
    <w:rPr>
      <w:rFonts w:ascii="HG丸ｺﾞｼｯｸM-PRO" w:hAnsi="HG丸ｺﾞｼｯｸM-PRO" w:eastAsia="HG丸ｺﾞｼｯｸM-PRO"/>
      <w:sz w:val="22"/>
    </w:rPr>
  </w:style>
  <w:style w:type="paragraph" w:styleId="19" w:customStyle="1">
    <w:name w:val="●計画名"/>
    <w:basedOn w:val="0"/>
    <w:next w:val="19"/>
    <w:link w:val="0"/>
    <w:uiPriority w:val="0"/>
    <w:qFormat/>
    <w:pPr>
      <w:spacing w:before="138" w:beforeLines="50" w:beforeAutospacing="0"/>
      <w:ind w:left="315" w:leftChars="150" w:right="35" w:firstLine="238" w:firstLineChars="100"/>
    </w:pPr>
    <w:rPr>
      <w:rFonts w:ascii="HG丸ｺﾞｼｯｸM-PRO" w:hAnsi="HG丸ｺﾞｼｯｸM-PRO" w:eastAsia="HG丸ｺﾞｼｯｸM-PRO"/>
      <w:b w:val="1"/>
      <w:sz w:val="22"/>
    </w:rPr>
  </w:style>
  <w:style w:type="paragraph" w:styleId="20" w:customStyle="1">
    <w:name w:val="１　見出し"/>
    <w:basedOn w:val="0"/>
    <w:next w:val="20"/>
    <w:link w:val="0"/>
    <w:uiPriority w:val="0"/>
    <w:qFormat/>
    <w:pPr>
      <w:shd w:val="clear" w:color="auto" w:fill="42558C"/>
      <w:spacing w:line="480" w:lineRule="atLeast"/>
    </w:pPr>
    <w:rPr>
      <w:rFonts w:ascii="HGS創英角ｺﾞｼｯｸUB" w:hAnsi="HGS創英角ｺﾞｼｯｸUB" w:eastAsia="HGS創英角ｺﾞｼｯｸUB"/>
      <w:color w:val="FFFFFF" w:themeColor="background1"/>
      <w:sz w:val="32"/>
    </w:rPr>
  </w:style>
  <w:style w:type="paragraph" w:styleId="21" w:customStyle="1">
    <w:name w:val="①見出し"/>
    <w:basedOn w:val="0"/>
    <w:next w:val="21"/>
    <w:link w:val="0"/>
    <w:uiPriority w:val="0"/>
    <w:qFormat/>
    <w:pPr>
      <w:spacing w:before="276" w:beforeLines="100" w:beforeAutospacing="0" w:line="480" w:lineRule="atLeast"/>
      <w:ind w:left="797" w:leftChars="200" w:right="34" w:hanging="377" w:hangingChars="157"/>
    </w:pPr>
    <w:rPr>
      <w:rFonts w:ascii="HGP創英角ｺﾞｼｯｸUB" w:hAnsi="HGP創英角ｺﾞｼｯｸUB" w:eastAsia="HGP創英角ｺﾞｼｯｸUB"/>
      <w:color w:val="244061"/>
      <w:sz w:val="24"/>
    </w:rPr>
  </w:style>
  <w:style w:type="paragraph" w:styleId="22" w:customStyle="1">
    <w:name w:val="キャプション（丸ゴシック）"/>
    <w:basedOn w:val="0"/>
    <w:next w:val="22"/>
    <w:link w:val="0"/>
    <w:uiPriority w:val="0"/>
    <w:qFormat/>
    <w:pPr>
      <w:spacing w:line="300" w:lineRule="exact"/>
    </w:pPr>
    <w:rPr>
      <w:rFonts w:ascii="HG丸ｺﾞｼｯｸM-PRO" w:hAnsi="HG丸ｺﾞｼｯｸM-PRO" w:eastAsia="HG丸ｺﾞｼｯｸM-PRO"/>
    </w:rPr>
  </w:style>
  <w:style w:type="paragraph" w:styleId="23" w:customStyle="1">
    <w:name w:val="ヘッダ（青）奇数"/>
    <w:basedOn w:val="0"/>
    <w:next w:val="23"/>
    <w:link w:val="0"/>
    <w:uiPriority w:val="0"/>
    <w:qFormat/>
    <w:pPr>
      <w:pBdr>
        <w:bottom w:val="single" w:color="365F91" w:sz="4" w:space="1"/>
      </w:pBdr>
      <w:tabs>
        <w:tab w:val="center" w:leader="none" w:pos="4252"/>
        <w:tab w:val="right" w:leader="none" w:pos="8504"/>
      </w:tabs>
      <w:snapToGrid w:val="0"/>
      <w:ind w:firstLine="200"/>
      <w:jc w:val="right"/>
    </w:pPr>
    <w:rPr>
      <w:rFonts w:ascii="HG丸ｺﾞｼｯｸM-PRO" w:hAnsi="HG丸ｺﾞｼｯｸM-PRO" w:eastAsia="HG丸ｺﾞｼｯｸM-PRO"/>
      <w:color w:val="244061"/>
      <w:sz w:val="20"/>
    </w:rPr>
  </w:style>
  <w:style w:type="paragraph" w:styleId="24" w:customStyle="1">
    <w:name w:val="リード文"/>
    <w:basedOn w:val="0"/>
    <w:next w:val="24"/>
    <w:link w:val="0"/>
    <w:uiPriority w:val="0"/>
    <w:qFormat/>
    <w:pPr>
      <w:spacing w:before="138" w:beforeLines="50" w:beforeAutospacing="0" w:line="390" w:lineRule="atLeast"/>
      <w:ind w:firstLine="220" w:firstLineChars="100"/>
    </w:pPr>
    <w:rPr>
      <w:rFonts w:asciiTheme="minorEastAsia" w:hAnsiTheme="minorEastAsia" w:eastAsiaTheme="minorEastAsia"/>
      <w:sz w:val="22"/>
    </w:rPr>
  </w:style>
  <w:style w:type="paragraph" w:styleId="25" w:customStyle="1">
    <w:name w:val="章見出し"/>
    <w:basedOn w:val="0"/>
    <w:next w:val="25"/>
    <w:link w:val="0"/>
    <w:uiPriority w:val="0"/>
    <w:qFormat/>
    <w:pPr>
      <w:spacing w:line="1360" w:lineRule="exact"/>
      <w:jc w:val="right"/>
    </w:pPr>
    <w:rPr>
      <w:rFonts w:ascii="HGP創英角ｺﾞｼｯｸUB" w:hAnsi="HGP創英角ｺﾞｼｯｸUB" w:eastAsia="HGP創英角ｺﾞｼｯｸUB"/>
      <w:color w:val="42558C" w:themeColor="accent1" w:themeShade="BF"/>
      <w:sz w:val="96"/>
    </w:rPr>
  </w:style>
  <w:style w:type="paragraph" w:styleId="26" w:customStyle="1">
    <w:name w:val="本文（丸ゴシ）"/>
    <w:basedOn w:val="0"/>
    <w:next w:val="26"/>
    <w:link w:val="0"/>
    <w:uiPriority w:val="0"/>
    <w:qFormat/>
    <w:pPr>
      <w:spacing w:before="82" w:beforeLines="30" w:beforeAutospacing="0" w:line="390" w:lineRule="atLeast"/>
      <w:ind w:left="630" w:leftChars="300" w:firstLine="220" w:firstLineChars="100"/>
    </w:pPr>
    <w:rPr>
      <w:rFonts w:ascii="HG丸ｺﾞｼｯｸM-PRO" w:hAnsi="HG丸ｺﾞｼｯｸM-PRO" w:eastAsia="HG丸ｺﾞｼｯｸM-PRO"/>
      <w:sz w:val="22"/>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kern w:val="2"/>
      <w:sz w:val="21"/>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Century" w:hAnsi="Century" w:eastAsia="ＭＳ 明朝"/>
      <w:kern w:val="2"/>
      <w:sz w:val="21"/>
    </w:rPr>
  </w:style>
  <w:style w:type="paragraph" w:styleId="31">
    <w:name w:val="List Paragraph"/>
    <w:basedOn w:val="0"/>
    <w:next w:val="31"/>
    <w:link w:val="0"/>
    <w:uiPriority w:val="0"/>
    <w:qFormat/>
    <w:pPr>
      <w:ind w:left="960" w:leftChars="400"/>
    </w:pPr>
  </w:style>
  <w:style w:type="paragraph" w:styleId="32" w:customStyle="1">
    <w:name w:val="ヘッダ（青）偶数"/>
    <w:basedOn w:val="23"/>
    <w:next w:val="32"/>
    <w:link w:val="0"/>
    <w:uiPriority w:val="0"/>
    <w:qFormat/>
    <w:pPr>
      <w:ind w:firstLine="0"/>
      <w:jc w:val="left"/>
    </w:pPr>
  </w:style>
  <w:style w:type="paragraph" w:styleId="33" w:customStyle="1">
    <w:name w:val="本文（箇条書き）"/>
    <w:basedOn w:val="16"/>
    <w:next w:val="33"/>
    <w:link w:val="0"/>
    <w:uiPriority w:val="0"/>
    <w:qFormat/>
    <w:pPr>
      <w:ind w:left="850" w:leftChars="299" w:right="281" w:rightChars="134" w:hanging="222" w:hangingChars="101"/>
    </w:pPr>
  </w:style>
  <w:style w:type="character" w:styleId="34">
    <w:name w:val="page number"/>
    <w:basedOn w:val="10"/>
    <w:next w:val="34"/>
    <w:link w:val="0"/>
    <w:uiPriority w:val="0"/>
  </w:style>
  <w:style w:type="paragraph" w:styleId="35">
    <w:name w:val="Balloon Text"/>
    <w:basedOn w:val="0"/>
    <w:next w:val="35"/>
    <w:link w:val="36"/>
    <w:uiPriority w:val="0"/>
    <w:semiHidden/>
    <w:rPr>
      <w:rFonts w:ascii="ヒラギノ角ゴ ProN W3" w:hAnsi="ヒラギノ角ゴ ProN W3" w:eastAsia="ヒラギノ角ゴ ProN W3"/>
      <w:sz w:val="18"/>
    </w:rPr>
  </w:style>
  <w:style w:type="character" w:styleId="36" w:customStyle="1">
    <w:name w:val="吹き出し (文字)"/>
    <w:basedOn w:val="10"/>
    <w:next w:val="36"/>
    <w:link w:val="35"/>
    <w:uiPriority w:val="0"/>
    <w:rPr>
      <w:rFonts w:ascii="ヒラギノ角ゴ ProN W3" w:hAnsi="ヒラギノ角ゴ ProN W3" w:eastAsia="ヒラギノ角ゴ ProN W3"/>
      <w:kern w:val="2"/>
      <w:sz w:val="18"/>
    </w:rPr>
  </w:style>
  <w:style w:type="paragraph" w:styleId="37" w:customStyle="1">
    <w:name w:val="本文（丸ゴシ）箇条書き"/>
    <w:basedOn w:val="26"/>
    <w:next w:val="37"/>
    <w:link w:val="0"/>
    <w:uiPriority w:val="0"/>
    <w:qFormat/>
    <w:pPr>
      <w:spacing w:before="120" w:beforeLines="0" w:beforeAutospacing="0"/>
      <w:ind w:left="867" w:leftChars="305" w:hanging="196" w:firstLineChars="0"/>
    </w:pPr>
  </w:style>
  <w:style w:type="paragraph" w:styleId="38" w:customStyle="1">
    <w:name w:val="資料編表"/>
    <w:basedOn w:val="0"/>
    <w:next w:val="38"/>
    <w:link w:val="0"/>
    <w:uiPriority w:val="0"/>
    <w:qFormat/>
    <w:pPr>
      <w:widowControl w:val="1"/>
      <w:jc w:val="right"/>
    </w:pPr>
    <w:rPr>
      <w:rFonts w:asciiTheme="majorEastAsia" w:hAnsiTheme="majorEastAsia" w:eastAsiaTheme="majorEastAsia"/>
      <w:color w:val="000000"/>
      <w:kern w:val="0"/>
      <w:sz w:val="18"/>
    </w:rPr>
  </w:style>
  <w:style w:type="paragraph" w:styleId="39" w:customStyle="1">
    <w:name w:val="表（丸ゴシ）"/>
    <w:basedOn w:val="0"/>
    <w:next w:val="39"/>
    <w:link w:val="0"/>
    <w:uiPriority w:val="0"/>
    <w:qFormat/>
    <w:pPr>
      <w:spacing w:before="55" w:beforeLines="20" w:beforeAutospacing="0" w:after="55" w:afterLines="20" w:afterAutospacing="0" w:line="320" w:lineRule="exact"/>
    </w:pPr>
    <w:rPr>
      <w:rFonts w:ascii="HG丸ｺﾞｼｯｸM-PRO" w:hAnsi="HG丸ｺﾞｼｯｸM-PRO" w:eastAsia="HG丸ｺﾞｼｯｸM-PRO"/>
      <w:sz w:val="22"/>
    </w:rPr>
  </w:style>
  <w:style w:type="paragraph" w:styleId="40">
    <w:name w:val="caption"/>
    <w:basedOn w:val="0"/>
    <w:next w:val="0"/>
    <w:link w:val="0"/>
    <w:uiPriority w:val="0"/>
    <w:semiHidden/>
    <w:qFormat/>
    <w:rPr>
      <w:b w:val="1"/>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Century" w:hAnsi="Century" w:eastAsia="ＭＳ 明朝"/>
      <w:kern w:val="2"/>
      <w:sz w:val="21"/>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Century" w:hAnsi="Century" w:eastAsia="ＭＳ 明朝"/>
      <w:b w:val="1"/>
      <w:kern w:val="2"/>
      <w:sz w:val="21"/>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name w:val="Table Grid"/>
    <w:basedOn w:val="49"/>
    <w:next w:val="48"/>
    <w:link w:val="0"/>
    <w:uiPriority w:val="0"/>
    <w:rPr>
      <w:rFonts w:ascii="Century" w:hAnsi="Century" w:eastAsia="ＭＳ 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49">
    <w:name w:val="Table Grid 1"/>
    <w:basedOn w:val="11"/>
    <w:next w:val="49"/>
    <w:link w:val="0"/>
    <w:uiPriority w:val="0"/>
    <w:pPr>
      <w:widowControl w:val="0"/>
      <w:jc w:val="both"/>
    </w:pPr>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_rels/theme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エグゼクティブ">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エグゼクティブ">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tileRect/>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4</Pages>
  <Words>55</Words>
  <Characters>2459</Characters>
  <Application>JUST Note</Application>
  <Lines>1334</Lines>
  <Paragraphs>130</Paragraphs>
  <CharactersWithSpaces>2503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2014-03-18T10:22:00Z</cp:lastPrinted>
  <dcterms:created xsi:type="dcterms:W3CDTF">2014-03-11T13:01:00Z</dcterms:created>
  <dcterms:modified xsi:type="dcterms:W3CDTF">2021-04-15T02:29:08Z</dcterms:modified>
  <cp:revision>33</cp:revision>
</cp:coreProperties>
</file>